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1C" w:rsidRPr="00924C1C" w:rsidRDefault="00924C1C" w:rsidP="00C05493">
      <w:pPr>
        <w:spacing w:after="120" w:line="300" w:lineRule="auto"/>
        <w:jc w:val="center"/>
        <w:rPr>
          <w:b/>
          <w:bCs/>
          <w:color w:val="FF0000"/>
        </w:rPr>
      </w:pPr>
      <w:r w:rsidRPr="00924C1C">
        <w:rPr>
          <w:b/>
          <w:bCs/>
          <w:color w:val="FF0000"/>
        </w:rPr>
        <w:t>B</w:t>
      </w:r>
      <w:r>
        <w:rPr>
          <w:b/>
          <w:bCs/>
          <w:color w:val="FF0000"/>
        </w:rPr>
        <w:t>U</w:t>
      </w:r>
      <w:r w:rsidRPr="00924C1C">
        <w:rPr>
          <w:b/>
          <w:bCs/>
          <w:color w:val="FF0000"/>
        </w:rPr>
        <w:t>LAŞ BAZLI ÖNLEMLER</w:t>
      </w:r>
      <w:r>
        <w:rPr>
          <w:b/>
          <w:bCs/>
          <w:color w:val="FF0000"/>
        </w:rPr>
        <w:t xml:space="preserve"> (BBÖ)</w:t>
      </w:r>
    </w:p>
    <w:p w:rsidR="00924C1C" w:rsidRPr="00924C1C" w:rsidRDefault="00924C1C" w:rsidP="00C05493">
      <w:pPr>
        <w:spacing w:after="120" w:line="300" w:lineRule="auto"/>
        <w:jc w:val="center"/>
        <w:rPr>
          <w:b/>
          <w:bCs/>
          <w:color w:val="FF0000"/>
        </w:rPr>
      </w:pPr>
      <w:r w:rsidRPr="00924C1C">
        <w:rPr>
          <w:b/>
          <w:bCs/>
          <w:color w:val="FF0000"/>
        </w:rPr>
        <w:t>ACİL DURUM EYLEM PLANI</w:t>
      </w: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ALINACAK ÖNLEYİCİ VE SINIRLANDIRICI TEDBİRLER</w:t>
      </w:r>
    </w:p>
    <w:p w:rsidR="00924C1C" w:rsidRPr="00924C1C" w:rsidRDefault="008A25B7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>
        <w:t>Salgın Acil Durum Sorumlusu Belirlenmeli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Acil Durum Planı ve Risk Değerlendirmesi Yapılmalı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Salgının Yayılmasını Önleyici Tedbirler alınmalı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Temizlik ve Hijyen sağlanmalı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Uygun Kişisel Koruyucu Donanımlar kullandırılmalı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Seyahat ve Toplantılar ile İlgili Tedbirler alınmalı</w:t>
      </w:r>
      <w:r w:rsidR="00C05493">
        <w:t>.</w:t>
      </w:r>
    </w:p>
    <w:p w:rsidR="00924C1C" w:rsidRPr="00924C1C" w:rsidRDefault="00924C1C" w:rsidP="00C05493">
      <w:pPr>
        <w:spacing w:after="120" w:line="300" w:lineRule="auto"/>
        <w:jc w:val="both"/>
      </w:pPr>
    </w:p>
    <w:p w:rsid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UYGULANACAK MÜDAHALE YÖNTEMLER</w:t>
      </w:r>
    </w:p>
    <w:p w:rsidR="008A25B7" w:rsidRPr="00217BE2" w:rsidRDefault="008A25B7" w:rsidP="00C05493">
      <w:pPr>
        <w:pStyle w:val="ListeParagraf"/>
        <w:numPr>
          <w:ilvl w:val="0"/>
          <w:numId w:val="14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Salgın hastalıklara karşı planlanmış önlemler mevcut COVID-19’a göre güncellenmeli ve acil durum planı devreye alınmalı,</w:t>
      </w:r>
    </w:p>
    <w:p w:rsidR="008A25B7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Pr="00217BE2">
        <w:rPr>
          <w:rFonts w:ascii="Times New Roman" w:hAnsi="Times New Roman" w:cs="Times New Roman"/>
          <w:bCs/>
          <w:sz w:val="24"/>
          <w:szCs w:val="24"/>
        </w:rPr>
        <w:t>izolasyonu</w:t>
      </w:r>
      <w:proofErr w:type="gram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sağlanmalı.</w:t>
      </w:r>
    </w:p>
    <w:p w:rsidR="00924C1C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BBÖ planı ve kontrolün sağlanmasında etkili şekilde uygulanma için sorumlu olacak yetkin kişi/kişiler yer almalı.</w:t>
      </w:r>
    </w:p>
    <w:p w:rsidR="00217BE2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belirtisi veya temaslısı olan öğretmen, öğrenci ya da çal</w:t>
      </w:r>
      <w:r w:rsidR="00217BE2" w:rsidRPr="00217BE2">
        <w:rPr>
          <w:rFonts w:ascii="Times New Roman" w:hAnsi="Times New Roman"/>
          <w:bCs/>
          <w:sz w:val="24"/>
          <w:szCs w:val="24"/>
        </w:rPr>
        <w:t xml:space="preserve">ışanların yakınlarına, İletişim </w:t>
      </w:r>
      <w:r w:rsidRPr="00217BE2">
        <w:rPr>
          <w:rFonts w:ascii="Times New Roman" w:hAnsi="Times New Roman"/>
          <w:bCs/>
          <w:sz w:val="24"/>
          <w:szCs w:val="24"/>
        </w:rPr>
        <w:t>planlamasına uygun olarak bilgilendirme</w:t>
      </w:r>
      <w:r w:rsidR="00217BE2" w:rsidRPr="00217BE2"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yapılmasını içer</w:t>
      </w:r>
      <w:r w:rsidR="00217BE2" w:rsidRPr="00217BE2">
        <w:rPr>
          <w:rFonts w:ascii="Times New Roman" w:hAnsi="Times New Roman"/>
          <w:bCs/>
          <w:sz w:val="24"/>
          <w:szCs w:val="24"/>
        </w:rPr>
        <w:t>meli.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İletişim planlamasına uygun olarak kontrollü şekilde sağlık kuruluşlarına yönlendirme sağlanmalı.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Salgın hastalık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semptomları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olan bir kişi ile ilgilenirken, uygun ek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(maske, göz koruması, eldiven ve önlük, elbise vb.) kullanılmalı.</w:t>
      </w:r>
    </w:p>
    <w:p w:rsid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Müdahale sonrası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lerin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uygun şekilde (Örneğin COVID-19 için, ilk önce eldivenler ve elbisenin çıkarılması, el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hijyeni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yapılması, sonra göz koruması çıkarılması en son maskenin çıkarılması ve hemen sabun ve su veya alkol bazlı el antiseptiği ile ellerin temizlenmesi vb.) çıkarılma</w:t>
      </w:r>
      <w:r>
        <w:rPr>
          <w:rFonts w:ascii="Times New Roman" w:hAnsi="Times New Roman"/>
          <w:bCs/>
          <w:sz w:val="24"/>
          <w:szCs w:val="24"/>
        </w:rPr>
        <w:t>lı.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belirtileri olan kişinin vücut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sıvılarıyla temas eden eldivenleri ve diğer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tek kullanımlık eşyaları tıbbi atık olarak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kabul edilerek uygun şekilde bertaraf edilme</w:t>
      </w:r>
      <w:r w:rsidR="002267EF">
        <w:rPr>
          <w:rFonts w:ascii="Times New Roman" w:hAnsi="Times New Roman"/>
          <w:bCs/>
          <w:sz w:val="24"/>
          <w:szCs w:val="24"/>
        </w:rPr>
        <w:t>li.</w:t>
      </w:r>
    </w:p>
    <w:p w:rsid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217BE2">
        <w:t xml:space="preserve">Çalışanlar hasta olduklarında evde kalmaları teşvik edilmeli, </w:t>
      </w:r>
    </w:p>
    <w:p w:rsidR="00217BE2" w:rsidRPr="00217BE2" w:rsidRDefault="00217BE2" w:rsidP="00C05493">
      <w:pPr>
        <w:spacing w:after="120" w:line="300" w:lineRule="auto"/>
        <w:ind w:left="360"/>
        <w:jc w:val="both"/>
      </w:pPr>
    </w:p>
    <w:p w:rsidR="002267EF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UYGULANACAK TAHLİYE YÖNTEMLERİ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Salgın hastalık (COVID-19 vb.) şüpheli vakaların tahliyesi/transferi ile ilgili yöntem belirlenmeli.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Çalışanların işe başlamadan önce temassız ateş ölçerle ateşleri kontrol edilmeli ve ateşi olanlar ivedi olarak işyeri hekimine/aile hekimine/sağlık kurumuna yönlendirilmeli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Bir çalışanın COVID-19 olduğu tespit edilirse, işverenler diğer çalışanları için COVID-19'a maruz kalma olasılıkları konusunda bilgilendirme yapmalı ve sağlık k</w:t>
      </w:r>
      <w:r>
        <w:rPr>
          <w:rFonts w:ascii="Times New Roman" w:hAnsi="Times New Roman" w:cs="Times New Roman"/>
          <w:bCs/>
          <w:sz w:val="24"/>
          <w:szCs w:val="24"/>
        </w:rPr>
        <w:t>uruluşları ile irtibata geçmeli.</w:t>
      </w:r>
    </w:p>
    <w:p w:rsidR="00693722" w:rsidRPr="00693722" w:rsidRDefault="00693722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722">
        <w:rPr>
          <w:rFonts w:ascii="Times New Roman" w:hAnsi="Times New Roman" w:cs="Times New Roman"/>
          <w:bCs/>
          <w:sz w:val="24"/>
          <w:szCs w:val="24"/>
        </w:rPr>
        <w:t>Bir çalışanın COVID-19 şüphesi bulunduğu takdirde işyeri hekimi/aile hekimi/sağlık kurumu ile iletişime geçmesi sağlanmalı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67EF" w:rsidRP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Salgın hastalık belirtisi gösteren kişi ve temaslılarca kullanılan alanların sağlık otoritelerinde belirtilen şekilde boşaltılması, dezenfeksiyonu ve havalandırması (Örneğin; COVID-19 gibi vakalarda temas edilen alan boşaltılmalı, 24 saat süreyle havalandırılmalı ve boş tutulması sağlanmalı, bunun sonrasında temizliği yapılmalıdır.) sağlanmalı.</w:t>
      </w:r>
    </w:p>
    <w:p w:rsidR="00924C1C" w:rsidRPr="00693722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ind w:left="357" w:hanging="357"/>
        <w:jc w:val="both"/>
        <w:rPr>
          <w:bCs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alınmalı</w:t>
      </w:r>
      <w:r w:rsidRPr="002267EF">
        <w:rPr>
          <w:bCs/>
        </w:rPr>
        <w:t>.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Etkilenen çalışanın atıkları için Tıbbi Atıkların Kontrolü Yönetmeliği kapsamında işlem yapılmalı,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Etkilenen çalışanın tıbbi yardım beklerken lavaboya/banyoya gitmesi gerekiyorsa, mümkünse ayrı bir lavabo/banyo kullanımı sağlanmalı,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 xml:space="preserve">Sağlık Bakanlığı’nın tedbirlerine uyulmalı, 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Sağlık kuruluşları tarafından rapor verilen çalışan, işvereni işyerine gitmeden bilgilendirmeli,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İşverenler, raporların geçerlilik süresi ile ilgili Sağlık Bakanlığı’nın, Aile, Çalışma ve Sosyal Hizmetler Bakanlığı’nın ve diğer resmi makamların açıklamalarını takip etmeli,</w:t>
      </w: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ACİL TOPLANMA YERİ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 xml:space="preserve">Hastalık şüphesi bulunan kişi maske takarak işyeri hekimi/aile hekimi/sağlık kurumuna gitmeli ve muayenesi yapılmalı, şüpheli COVID-19 durumu bulunduğu takdirde etkilenen kişi diğer çalışanlardan izole edilerek daha önceden belirlenen ve </w:t>
      </w:r>
      <w:proofErr w:type="gramStart"/>
      <w:r w:rsidRPr="00924C1C">
        <w:t>enfeksiyonun</w:t>
      </w:r>
      <w:proofErr w:type="gramEnd"/>
      <w:r w:rsidRPr="00924C1C">
        <w:t xml:space="preserve"> yayılmasını önleyecek nitelikte olan kapalı alanda bekletilmeli ve Sağlık Bakanlığı’nın ilgili sağlık kuruluşu ile iletişime geçilerek sevki sağlanmalı</w:t>
      </w:r>
      <w:r w:rsidR="00693722">
        <w:t>.</w:t>
      </w:r>
      <w:r w:rsidRPr="00924C1C">
        <w:t xml:space="preserve"> 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Sağlık Bakanlı</w:t>
      </w:r>
      <w:r w:rsidR="00693722">
        <w:t>ğı’nın 14 Gün Kuralına uyulmalı.</w:t>
      </w:r>
    </w:p>
    <w:p w:rsidR="00B36213" w:rsidRPr="00924C1C" w:rsidRDefault="00B36213" w:rsidP="00C05493">
      <w:pPr>
        <w:spacing w:after="120" w:line="300" w:lineRule="auto"/>
        <w:jc w:val="both"/>
      </w:pPr>
    </w:p>
    <w:sectPr w:rsidR="00B36213" w:rsidRPr="00924C1C" w:rsidSect="00E4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DC" w:rsidRDefault="004C53DC">
      <w:r>
        <w:separator/>
      </w:r>
    </w:p>
  </w:endnote>
  <w:endnote w:type="continuationSeparator" w:id="0">
    <w:p w:rsidR="004C53DC" w:rsidRDefault="004C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3" w:rsidRDefault="00694F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EF" w:rsidRDefault="002267EF">
    <w:pPr>
      <w:pStyle w:val="Altbilgi"/>
    </w:pPr>
    <w:r>
      <w:rPr>
        <w:sz w:val="20"/>
      </w:rPr>
      <w:t xml:space="preserve">   </w:t>
    </w:r>
  </w:p>
  <w:p w:rsidR="002267EF" w:rsidRDefault="002267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3" w:rsidRDefault="00694F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DC" w:rsidRDefault="004C53DC">
      <w:r>
        <w:separator/>
      </w:r>
    </w:p>
  </w:footnote>
  <w:footnote w:type="continuationSeparator" w:id="0">
    <w:p w:rsidR="004C53DC" w:rsidRDefault="004C5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3" w:rsidRDefault="00694F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2267EF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2267EF" w:rsidRPr="00CC3694" w:rsidRDefault="00694FC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743C5">
            <w:rPr>
              <w:noProof/>
            </w:rPr>
            <w:drawing>
              <wp:inline distT="0" distB="0" distL="0" distR="0" wp14:anchorId="09525224" wp14:editId="3625F703">
                <wp:extent cx="1651635" cy="1151255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35" cy="1151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2420" w:type="pct"/>
          <w:vMerge w:val="restart"/>
          <w:vAlign w:val="center"/>
        </w:tcPr>
        <w:p w:rsidR="002267EF" w:rsidRDefault="002267E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924C1C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BULAŞ BAZLI ÖNLEMLER </w:t>
          </w:r>
        </w:p>
        <w:p w:rsidR="002267EF" w:rsidRPr="000B47FC" w:rsidRDefault="002267E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(BBÖ) EYLEM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2267EF" w:rsidRPr="00650C68" w:rsidRDefault="002267E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267EF" w:rsidRPr="00650C68" w:rsidRDefault="002267E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694FC3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93722">
            <w:rPr>
              <w:rFonts w:ascii="Times New Roman" w:hAnsi="Times New Roman"/>
              <w:b/>
              <w:bCs/>
              <w:sz w:val="16"/>
              <w:szCs w:val="16"/>
            </w:rPr>
            <w:t>/2</w:t>
          </w:r>
        </w:p>
      </w:tc>
    </w:tr>
  </w:tbl>
  <w:p w:rsidR="002267EF" w:rsidRPr="00211905" w:rsidRDefault="002267EF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3" w:rsidRDefault="00694F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17BE2"/>
    <w:rsid w:val="00225B98"/>
    <w:rsid w:val="002266A5"/>
    <w:rsid w:val="002267EF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C53DC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93722"/>
    <w:rsid w:val="00694FC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5B7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4C1C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9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11C1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248D-7105-48C3-9908-897768EC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Melek</cp:lastModifiedBy>
  <cp:revision>5</cp:revision>
  <cp:lastPrinted>2020-01-29T08:16:00Z</cp:lastPrinted>
  <dcterms:created xsi:type="dcterms:W3CDTF">2020-08-07T11:11:00Z</dcterms:created>
  <dcterms:modified xsi:type="dcterms:W3CDTF">2020-08-17T06:42:00Z</dcterms:modified>
</cp:coreProperties>
</file>